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ordWrap/>
        <w:overflowPunct/>
        <w:topLinePunct w:val="0"/>
        <w:bidi w:val="0"/>
        <w:spacing w:line="560" w:lineRule="exact"/>
        <w:jc w:val="both"/>
        <w:rPr>
          <w:rFonts w:hint="eastAsia" w:ascii="仿宋_GB2312" w:hAnsi="仿宋_GB2312" w:eastAsia="仿宋_GB2312" w:cs="仿宋_GB2312"/>
          <w:b w:val="0"/>
          <w:bCs w:val="0"/>
          <w:sz w:val="28"/>
          <w:szCs w:val="28"/>
          <w:lang w:val="en-US" w:eastAsia="zh-CN"/>
        </w:rPr>
      </w:pPr>
      <w:bookmarkStart w:id="0" w:name="_GoBack"/>
      <w:bookmarkEnd w:id="0"/>
      <w:r>
        <w:rPr>
          <w:rFonts w:hint="eastAsia" w:ascii="仿宋_GB2312" w:hAnsi="仿宋_GB2312" w:eastAsia="仿宋_GB2312" w:cs="仿宋_GB2312"/>
          <w:b w:val="0"/>
          <w:bCs w:val="0"/>
          <w:sz w:val="28"/>
          <w:szCs w:val="28"/>
          <w:lang w:val="en-US" w:eastAsia="zh-CN"/>
        </w:rPr>
        <w:t>附表一</w:t>
      </w:r>
    </w:p>
    <w:p>
      <w:pPr>
        <w:keepNext w:val="0"/>
        <w:keepLines w:val="0"/>
        <w:pageBreakBefore w:val="0"/>
        <w:wordWrap/>
        <w:overflowPunct/>
        <w:topLinePunct w:val="0"/>
        <w:bidi w:val="0"/>
        <w:spacing w:line="560" w:lineRule="exact"/>
        <w:ind w:firstLine="880" w:firstLineChars="200"/>
        <w:jc w:val="center"/>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2024年崇明区地下空间安全使用管理联合检查计划表</w:t>
      </w:r>
    </w:p>
    <w:tbl>
      <w:tblPr>
        <w:tblStyle w:val="5"/>
        <w:tblpPr w:leftFromText="180" w:rightFromText="180" w:vertAnchor="text" w:horzAnchor="page" w:tblpX="1971" w:tblpY="668"/>
        <w:tblOverlap w:val="never"/>
        <w:tblW w:w="130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6"/>
        <w:gridCol w:w="1770"/>
        <w:gridCol w:w="96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46" w:type="dxa"/>
            <w:vAlign w:val="center"/>
          </w:tcPr>
          <w:p>
            <w:pPr>
              <w:keepNext w:val="0"/>
              <w:keepLines w:val="0"/>
              <w:pageBreakBefore w:val="0"/>
              <w:widowControl w:val="0"/>
              <w:wordWrap/>
              <w:overflowPunct/>
              <w:topLinePunct w:val="0"/>
              <w:bidi w:val="0"/>
              <w:spacing w:line="560" w:lineRule="exact"/>
              <w:jc w:val="both"/>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b/>
                <w:bCs/>
                <w:sz w:val="32"/>
                <w:szCs w:val="32"/>
                <w:vertAlign w:val="baseline"/>
                <w:lang w:eastAsia="zh-CN"/>
              </w:rPr>
              <w:t>检查次数</w:t>
            </w:r>
          </w:p>
        </w:tc>
        <w:tc>
          <w:tcPr>
            <w:tcW w:w="1770" w:type="dxa"/>
            <w:vAlign w:val="center"/>
          </w:tcPr>
          <w:p>
            <w:pPr>
              <w:keepNext w:val="0"/>
              <w:keepLines w:val="0"/>
              <w:pageBreakBefore w:val="0"/>
              <w:widowControl w:val="0"/>
              <w:wordWrap/>
              <w:overflowPunct/>
              <w:topLinePunct w:val="0"/>
              <w:bidi w:val="0"/>
              <w:spacing w:line="560" w:lineRule="exact"/>
              <w:jc w:val="center"/>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b/>
                <w:bCs/>
                <w:sz w:val="32"/>
                <w:szCs w:val="32"/>
                <w:vertAlign w:val="baseline"/>
                <w:lang w:eastAsia="zh-CN"/>
              </w:rPr>
              <w:t>检查时间</w:t>
            </w:r>
          </w:p>
        </w:tc>
        <w:tc>
          <w:tcPr>
            <w:tcW w:w="9615" w:type="dxa"/>
            <w:vAlign w:val="center"/>
          </w:tcPr>
          <w:p>
            <w:pPr>
              <w:keepNext w:val="0"/>
              <w:keepLines w:val="0"/>
              <w:pageBreakBefore w:val="0"/>
              <w:widowControl w:val="0"/>
              <w:wordWrap/>
              <w:overflowPunct/>
              <w:topLinePunct w:val="0"/>
              <w:bidi w:val="0"/>
              <w:spacing w:line="560" w:lineRule="exact"/>
              <w:ind w:firstLine="643" w:firstLineChars="200"/>
              <w:jc w:val="center"/>
              <w:rPr>
                <w:rFonts w:hint="eastAsia" w:ascii="仿宋_GB2312" w:hAnsi="仿宋_GB2312" w:eastAsia="仿宋_GB2312" w:cs="仿宋_GB2312"/>
                <w:sz w:val="32"/>
                <w:szCs w:val="32"/>
                <w:vertAlign w:val="baseline"/>
                <w:lang w:eastAsia="zh-CN"/>
              </w:rPr>
            </w:pPr>
            <w:r>
              <w:rPr>
                <w:rFonts w:hint="eastAsia" w:ascii="仿宋_GB2312" w:hAnsi="仿宋_GB2312" w:eastAsia="仿宋_GB2312" w:cs="仿宋_GB2312"/>
                <w:b/>
                <w:bCs/>
                <w:sz w:val="32"/>
                <w:szCs w:val="32"/>
                <w:vertAlign w:val="baseline"/>
                <w:lang w:eastAsia="zh-CN"/>
              </w:rPr>
              <w:t>检查主要内容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2" w:hRule="atLeast"/>
        </w:trPr>
        <w:tc>
          <w:tcPr>
            <w:tcW w:w="1646" w:type="dxa"/>
            <w:vAlign w:val="center"/>
          </w:tcPr>
          <w:p>
            <w:pPr>
              <w:keepNext w:val="0"/>
              <w:keepLines w:val="0"/>
              <w:pageBreakBefore w:val="0"/>
              <w:widowControl w:val="0"/>
              <w:wordWrap/>
              <w:overflowPunct/>
              <w:topLinePunct w:val="0"/>
              <w:bidi w:val="0"/>
              <w:spacing w:line="560" w:lineRule="exact"/>
              <w:jc w:val="center"/>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lang w:eastAsia="zh-CN"/>
              </w:rPr>
              <w:t>第一次</w:t>
            </w:r>
          </w:p>
        </w:tc>
        <w:tc>
          <w:tcPr>
            <w:tcW w:w="1770" w:type="dxa"/>
            <w:vAlign w:val="center"/>
          </w:tcPr>
          <w:p>
            <w:pPr>
              <w:keepNext w:val="0"/>
              <w:keepLines w:val="0"/>
              <w:pageBreakBefore w:val="0"/>
              <w:widowControl w:val="0"/>
              <w:wordWrap/>
              <w:overflowPunct/>
              <w:topLinePunct w:val="0"/>
              <w:bidi w:val="0"/>
              <w:spacing w:line="560" w:lineRule="exact"/>
              <w:jc w:val="center"/>
              <w:rPr>
                <w:rFonts w:hint="eastAsia" w:ascii="仿宋_GB2312" w:hAnsi="仿宋_GB2312" w:eastAsia="仿宋_GB2312" w:cs="仿宋_GB2312"/>
                <w:color w:val="333333"/>
                <w:sz w:val="30"/>
                <w:szCs w:val="30"/>
                <w:shd w:val="clear" w:color="auto" w:fill="FFFFFF"/>
              </w:rPr>
            </w:pPr>
            <w:r>
              <w:rPr>
                <w:rFonts w:hint="eastAsia" w:ascii="仿宋_GB2312" w:hAnsi="仿宋_GB2312" w:eastAsia="仿宋_GB2312" w:cs="仿宋_GB2312"/>
                <w:sz w:val="30"/>
                <w:szCs w:val="30"/>
                <w:vertAlign w:val="baseline"/>
                <w:lang w:val="en-US" w:eastAsia="zh-CN"/>
              </w:rPr>
              <w:t>3月</w:t>
            </w:r>
          </w:p>
        </w:tc>
        <w:tc>
          <w:tcPr>
            <w:tcW w:w="9615" w:type="dxa"/>
            <w:vAlign w:val="center"/>
          </w:tcPr>
          <w:p>
            <w:pPr>
              <w:keepNext w:val="0"/>
              <w:keepLines w:val="0"/>
              <w:pageBreakBefore w:val="0"/>
              <w:widowControl w:val="0"/>
              <w:wordWrap/>
              <w:overflowPunct/>
              <w:topLinePunct w:val="0"/>
              <w:bidi w:val="0"/>
              <w:spacing w:line="560" w:lineRule="exact"/>
              <w:jc w:val="both"/>
              <w:rPr>
                <w:rFonts w:hint="eastAsia" w:ascii="仿宋_GB2312" w:hAnsi="仿宋_GB2312" w:eastAsia="仿宋_GB2312" w:cs="仿宋_GB2312"/>
                <w:sz w:val="30"/>
                <w:szCs w:val="30"/>
                <w:vertAlign w:val="baseline"/>
                <w:lang w:eastAsia="zh-CN"/>
              </w:rPr>
            </w:pPr>
            <w:r>
              <w:rPr>
                <w:rFonts w:hint="eastAsia" w:ascii="仿宋_GB2312" w:hAnsi="仿宋_GB2312" w:eastAsia="仿宋_GB2312" w:cs="仿宋_GB2312"/>
                <w:color w:val="333333"/>
                <w:sz w:val="30"/>
                <w:szCs w:val="30"/>
                <w:shd w:val="clear" w:color="auto" w:fill="FFFFFF"/>
              </w:rPr>
              <w:t>（1）各相关单位地下空间安全管理年度工作计划及相关落实措施的制定情况</w:t>
            </w:r>
            <w:r>
              <w:rPr>
                <w:rFonts w:hint="eastAsia" w:ascii="仿宋_GB2312" w:hAnsi="仿宋_GB2312" w:eastAsia="仿宋_GB2312" w:cs="仿宋_GB2312"/>
                <w:spacing w:val="6"/>
                <w:sz w:val="30"/>
                <w:szCs w:val="30"/>
              </w:rPr>
              <w:t>；</w:t>
            </w:r>
          </w:p>
          <w:p>
            <w:pPr>
              <w:keepNext w:val="0"/>
              <w:keepLines w:val="0"/>
              <w:pageBreakBefore w:val="0"/>
              <w:widowControl w:val="0"/>
              <w:wordWrap/>
              <w:overflowPunct/>
              <w:topLinePunct w:val="0"/>
              <w:bidi w:val="0"/>
              <w:spacing w:line="560" w:lineRule="exact"/>
              <w:jc w:val="both"/>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rPr>
              <w:t>（2）安全管理工作责任制的建立情况；</w:t>
            </w:r>
          </w:p>
          <w:p>
            <w:pPr>
              <w:keepNext w:val="0"/>
              <w:keepLines w:val="0"/>
              <w:pageBreakBefore w:val="0"/>
              <w:widowControl w:val="0"/>
              <w:wordWrap/>
              <w:overflowPunct/>
              <w:topLinePunct w:val="0"/>
              <w:bidi w:val="0"/>
              <w:spacing w:line="560" w:lineRule="exact"/>
              <w:jc w:val="both"/>
              <w:rPr>
                <w:rFonts w:hint="eastAsia" w:ascii="仿宋_GB2312" w:hAnsi="仿宋_GB2312" w:eastAsia="仿宋_GB2312" w:cs="仿宋_GB2312"/>
                <w:color w:val="333333"/>
                <w:sz w:val="30"/>
                <w:szCs w:val="30"/>
                <w:shd w:val="clear" w:color="auto" w:fill="FFFFFF"/>
              </w:rPr>
            </w:pPr>
            <w:r>
              <w:rPr>
                <w:rFonts w:hint="eastAsia" w:ascii="仿宋_GB2312" w:hAnsi="仿宋_GB2312" w:eastAsia="仿宋_GB2312" w:cs="仿宋_GB2312"/>
                <w:color w:val="333333"/>
                <w:sz w:val="30"/>
                <w:szCs w:val="30"/>
                <w:shd w:val="clear" w:color="auto" w:fill="FFFFFF"/>
              </w:rPr>
              <w:t>（3）辖区重点监控对象的掌握情况；</w:t>
            </w:r>
          </w:p>
          <w:p>
            <w:pPr>
              <w:keepNext w:val="0"/>
              <w:keepLines w:val="0"/>
              <w:pageBreakBefore w:val="0"/>
              <w:widowControl w:val="0"/>
              <w:wordWrap/>
              <w:overflowPunct/>
              <w:topLinePunct w:val="0"/>
              <w:bidi w:val="0"/>
              <w:spacing w:line="560" w:lineRule="exact"/>
              <w:jc w:val="both"/>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rPr>
              <w:t>（4）</w:t>
            </w:r>
            <w:r>
              <w:rPr>
                <w:rFonts w:hint="eastAsia" w:ascii="仿宋_GB2312" w:hAnsi="仿宋_GB2312" w:eastAsia="仿宋_GB2312" w:cs="仿宋_GB2312"/>
                <w:color w:val="333333"/>
                <w:sz w:val="30"/>
                <w:szCs w:val="30"/>
                <w:shd w:val="clear" w:color="auto" w:fill="FFFFFF"/>
                <w:lang w:eastAsia="zh-CN"/>
              </w:rPr>
              <w:t>地下空间火灾隐患治理情况；</w:t>
            </w:r>
          </w:p>
          <w:p>
            <w:pPr>
              <w:keepNext w:val="0"/>
              <w:keepLines w:val="0"/>
              <w:pageBreakBefore w:val="0"/>
              <w:widowControl w:val="0"/>
              <w:wordWrap/>
              <w:overflowPunct/>
              <w:topLinePunct w:val="0"/>
              <w:bidi w:val="0"/>
              <w:spacing w:line="560" w:lineRule="exact"/>
              <w:jc w:val="both"/>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rPr>
              <w:t>（</w:t>
            </w:r>
            <w:r>
              <w:rPr>
                <w:rFonts w:hint="eastAsia" w:ascii="仿宋_GB2312" w:hAnsi="仿宋_GB2312" w:eastAsia="仿宋_GB2312" w:cs="仿宋_GB2312"/>
                <w:color w:val="333333"/>
                <w:sz w:val="30"/>
                <w:szCs w:val="30"/>
                <w:shd w:val="clear" w:color="auto" w:fill="FFFFFF"/>
                <w:lang w:val="en-US" w:eastAsia="zh-CN"/>
              </w:rPr>
              <w:t>5</w:t>
            </w:r>
            <w:r>
              <w:rPr>
                <w:rFonts w:hint="eastAsia" w:ascii="仿宋_GB2312" w:hAnsi="仿宋_GB2312" w:eastAsia="仿宋_GB2312" w:cs="仿宋_GB2312"/>
                <w:color w:val="333333"/>
                <w:sz w:val="30"/>
                <w:szCs w:val="30"/>
                <w:shd w:val="clear" w:color="auto" w:fill="FFFFFF"/>
              </w:rPr>
              <w:t>）地下空间使用单位日常安全制度落实情况；</w:t>
            </w:r>
          </w:p>
          <w:p>
            <w:pPr>
              <w:keepNext w:val="0"/>
              <w:keepLines w:val="0"/>
              <w:pageBreakBefore w:val="0"/>
              <w:widowControl w:val="0"/>
              <w:wordWrap/>
              <w:overflowPunct/>
              <w:topLinePunct w:val="0"/>
              <w:bidi w:val="0"/>
              <w:spacing w:line="560" w:lineRule="exact"/>
              <w:jc w:val="both"/>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6</w:t>
            </w:r>
            <w:r>
              <w:rPr>
                <w:rFonts w:hint="eastAsia" w:ascii="仿宋_GB2312" w:hAnsi="仿宋_GB2312" w:eastAsia="仿宋_GB2312" w:cs="仿宋_GB2312"/>
                <w:color w:val="333333"/>
                <w:sz w:val="30"/>
                <w:szCs w:val="30"/>
                <w:shd w:val="clear" w:color="auto" w:fill="FFFFFF"/>
                <w:lang w:eastAsia="zh-CN"/>
              </w:rPr>
              <w:t>）其他违法违规行为；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07" w:hRule="atLeast"/>
        </w:trPr>
        <w:tc>
          <w:tcPr>
            <w:tcW w:w="1646"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outlineLvl w:val="9"/>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lang w:eastAsia="zh-CN"/>
              </w:rPr>
              <w:t>第二次</w:t>
            </w:r>
          </w:p>
        </w:tc>
        <w:tc>
          <w:tcPr>
            <w:tcW w:w="1770"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6月</w:t>
            </w:r>
          </w:p>
        </w:tc>
        <w:tc>
          <w:tcPr>
            <w:tcW w:w="9615"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1</w:t>
            </w: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rPr>
              <w:t>辖区重点监控对象的掌握情况；</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2</w:t>
            </w: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rPr>
              <w:t>地下空间防汛防台工作落实情况；</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rPr>
              <w:t>（3）地下空间使用单位落实</w:t>
            </w:r>
            <w:r>
              <w:rPr>
                <w:rFonts w:hint="eastAsia" w:ascii="仿宋_GB2312" w:hAnsi="仿宋_GB2312" w:eastAsia="仿宋_GB2312" w:cs="仿宋_GB2312"/>
                <w:color w:val="333333"/>
                <w:sz w:val="30"/>
                <w:szCs w:val="30"/>
                <w:shd w:val="clear" w:color="auto" w:fill="FFFFFF"/>
                <w:lang w:eastAsia="zh-CN"/>
              </w:rPr>
              <w:t>各</w:t>
            </w:r>
            <w:r>
              <w:rPr>
                <w:rFonts w:hint="eastAsia" w:ascii="仿宋_GB2312" w:hAnsi="仿宋_GB2312" w:eastAsia="仿宋_GB2312" w:cs="仿宋_GB2312"/>
                <w:color w:val="333333"/>
                <w:sz w:val="30"/>
                <w:szCs w:val="30"/>
                <w:shd w:val="clear" w:color="auto" w:fill="FFFFFF"/>
              </w:rPr>
              <w:t>行业管理要求情况</w:t>
            </w:r>
            <w:r>
              <w:rPr>
                <w:rFonts w:hint="eastAsia" w:ascii="仿宋_GB2312" w:hAnsi="仿宋_GB2312" w:eastAsia="仿宋_GB2312" w:cs="仿宋_GB2312"/>
                <w:color w:val="333333"/>
                <w:sz w:val="30"/>
                <w:szCs w:val="30"/>
                <w:shd w:val="clear" w:color="auto" w:fill="FFFFFF"/>
                <w:lang w:eastAsia="zh-CN"/>
              </w:rPr>
              <w:t>；</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4</w:t>
            </w:r>
            <w:r>
              <w:rPr>
                <w:rFonts w:hint="eastAsia" w:ascii="仿宋_GB2312" w:hAnsi="仿宋_GB2312" w:eastAsia="仿宋_GB2312" w:cs="仿宋_GB2312"/>
                <w:color w:val="333333"/>
                <w:sz w:val="30"/>
                <w:szCs w:val="30"/>
                <w:shd w:val="clear" w:color="auto" w:fill="FFFFFF"/>
                <w:lang w:eastAsia="zh-CN"/>
              </w:rPr>
              <w:t>）其他违法违规行为；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35" w:hRule="atLeast"/>
        </w:trPr>
        <w:tc>
          <w:tcPr>
            <w:tcW w:w="1646"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outlineLvl w:val="9"/>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lang w:eastAsia="zh-CN"/>
              </w:rPr>
              <w:t>第三次</w:t>
            </w:r>
          </w:p>
        </w:tc>
        <w:tc>
          <w:tcPr>
            <w:tcW w:w="1770"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outlineLvl w:val="9"/>
              <w:rPr>
                <w:rFonts w:hint="eastAsia" w:ascii="仿宋_GB2312" w:hAnsi="仿宋_GB2312" w:eastAsia="仿宋_GB2312" w:cs="仿宋_GB2312"/>
                <w:color w:val="333333"/>
                <w:sz w:val="30"/>
                <w:szCs w:val="30"/>
                <w:shd w:val="clear" w:color="auto" w:fill="FFFFFF"/>
                <w:lang w:val="en-US" w:eastAsia="zh-CN"/>
              </w:rPr>
            </w:pPr>
            <w:r>
              <w:rPr>
                <w:rFonts w:hint="eastAsia" w:ascii="仿宋_GB2312" w:hAnsi="仿宋_GB2312" w:eastAsia="仿宋_GB2312" w:cs="仿宋_GB2312"/>
                <w:sz w:val="30"/>
                <w:szCs w:val="30"/>
                <w:vertAlign w:val="baseline"/>
                <w:lang w:val="en-US" w:eastAsia="zh-CN"/>
              </w:rPr>
              <w:t>9月</w:t>
            </w:r>
          </w:p>
        </w:tc>
        <w:tc>
          <w:tcPr>
            <w:tcW w:w="9615"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1</w:t>
            </w: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rPr>
              <w:t>“中秋</w:t>
            </w: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rPr>
              <w:t>国庆”期间，地下空间安全管理措施落实情况；</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2</w:t>
            </w: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rPr>
              <w:t>辖区重点监控对象的掌握情况；</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3</w:t>
            </w: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rPr>
              <w:t>地下空间防汛防台工作落实情况；</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4</w:t>
            </w: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rPr>
              <w:t>地下空间火灾隐患治理情况；</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rPr>
              <w:t>（5）地下空间使用单位落实行业管理要求情况</w:t>
            </w:r>
            <w:r>
              <w:rPr>
                <w:rFonts w:hint="eastAsia" w:ascii="仿宋_GB2312" w:hAnsi="仿宋_GB2312" w:eastAsia="仿宋_GB2312" w:cs="仿宋_GB2312"/>
                <w:color w:val="333333"/>
                <w:sz w:val="30"/>
                <w:szCs w:val="30"/>
                <w:shd w:val="clear" w:color="auto" w:fill="FFFFFF"/>
                <w:lang w:eastAsia="zh-CN"/>
              </w:rPr>
              <w:t>；</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6</w:t>
            </w:r>
            <w:r>
              <w:rPr>
                <w:rFonts w:hint="eastAsia" w:ascii="仿宋_GB2312" w:hAnsi="仿宋_GB2312" w:eastAsia="仿宋_GB2312" w:cs="仿宋_GB2312"/>
                <w:color w:val="333333"/>
                <w:sz w:val="30"/>
                <w:szCs w:val="30"/>
                <w:shd w:val="clear" w:color="auto" w:fill="FFFFFF"/>
                <w:lang w:eastAsia="zh-CN"/>
              </w:rPr>
              <w:t>）其他违法违规行为；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11" w:hRule="atLeast"/>
        </w:trPr>
        <w:tc>
          <w:tcPr>
            <w:tcW w:w="1646"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outlineLvl w:val="9"/>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lang w:eastAsia="zh-CN"/>
              </w:rPr>
              <w:t>第四次</w:t>
            </w:r>
          </w:p>
        </w:tc>
        <w:tc>
          <w:tcPr>
            <w:tcW w:w="1770"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outlineLvl w:val="9"/>
              <w:rPr>
                <w:rFonts w:hint="eastAsia" w:ascii="仿宋_GB2312" w:hAnsi="仿宋_GB2312" w:eastAsia="仿宋_GB2312" w:cs="仿宋_GB2312"/>
                <w:color w:val="333333"/>
                <w:sz w:val="30"/>
                <w:szCs w:val="30"/>
                <w:shd w:val="clear" w:color="auto" w:fill="FFFFFF"/>
                <w:lang w:val="en-US" w:eastAsia="zh-CN"/>
              </w:rPr>
            </w:pPr>
            <w:r>
              <w:rPr>
                <w:rFonts w:hint="eastAsia" w:ascii="仿宋_GB2312" w:hAnsi="仿宋_GB2312" w:eastAsia="仿宋_GB2312" w:cs="仿宋_GB2312"/>
                <w:sz w:val="30"/>
                <w:szCs w:val="30"/>
                <w:vertAlign w:val="baseline"/>
                <w:lang w:val="en-US" w:eastAsia="zh-CN"/>
              </w:rPr>
              <w:t>12月</w:t>
            </w:r>
          </w:p>
        </w:tc>
        <w:tc>
          <w:tcPr>
            <w:tcW w:w="9615"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1</w:t>
            </w: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rPr>
              <w:t>地下空间使用单位落实行业管理要求情况；</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2</w:t>
            </w: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rPr>
              <w:t>地下空间冬季火灾隐患治理情况；</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3</w:t>
            </w: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rPr>
              <w:t>辖区重点监控对象的掌握情况；</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rPr>
              <w:t>（4）“元旦”期间地下空间安全管理措施落实情况</w:t>
            </w:r>
            <w:r>
              <w:rPr>
                <w:rFonts w:hint="eastAsia" w:ascii="仿宋_GB2312" w:hAnsi="仿宋_GB2312" w:eastAsia="仿宋_GB2312" w:cs="仿宋_GB2312"/>
                <w:color w:val="333333"/>
                <w:sz w:val="30"/>
                <w:szCs w:val="30"/>
                <w:shd w:val="clear" w:color="auto" w:fill="FFFFFF"/>
                <w:lang w:eastAsia="zh-CN"/>
              </w:rPr>
              <w:t>；</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outlineLvl w:val="9"/>
              <w:rPr>
                <w:rFonts w:hint="eastAsia" w:ascii="仿宋_GB2312" w:hAnsi="仿宋_GB2312" w:eastAsia="仿宋_GB2312" w:cs="仿宋_GB2312"/>
                <w:color w:val="333333"/>
                <w:sz w:val="30"/>
                <w:szCs w:val="30"/>
                <w:shd w:val="clear" w:color="auto" w:fill="FFFFFF"/>
                <w:lang w:eastAsia="zh-CN"/>
              </w:rPr>
            </w:pPr>
            <w:r>
              <w:rPr>
                <w:rFonts w:hint="eastAsia" w:ascii="仿宋_GB2312" w:hAnsi="仿宋_GB2312" w:eastAsia="仿宋_GB2312" w:cs="仿宋_GB2312"/>
                <w:color w:val="333333"/>
                <w:sz w:val="30"/>
                <w:szCs w:val="30"/>
                <w:shd w:val="clear" w:color="auto" w:fill="FFFFFF"/>
                <w:lang w:eastAsia="zh-CN"/>
              </w:rPr>
              <w:t>（</w:t>
            </w:r>
            <w:r>
              <w:rPr>
                <w:rFonts w:hint="eastAsia" w:ascii="仿宋_GB2312" w:hAnsi="仿宋_GB2312" w:eastAsia="仿宋_GB2312" w:cs="仿宋_GB2312"/>
                <w:color w:val="333333"/>
                <w:sz w:val="30"/>
                <w:szCs w:val="30"/>
                <w:shd w:val="clear" w:color="auto" w:fill="FFFFFF"/>
                <w:lang w:val="en-US" w:eastAsia="zh-CN"/>
              </w:rPr>
              <w:t>5</w:t>
            </w:r>
            <w:r>
              <w:rPr>
                <w:rFonts w:hint="eastAsia" w:ascii="仿宋_GB2312" w:hAnsi="仿宋_GB2312" w:eastAsia="仿宋_GB2312" w:cs="仿宋_GB2312"/>
                <w:color w:val="333333"/>
                <w:sz w:val="30"/>
                <w:szCs w:val="30"/>
                <w:shd w:val="clear" w:color="auto" w:fill="FFFFFF"/>
                <w:lang w:eastAsia="zh-CN"/>
              </w:rPr>
              <w:t>）其他违法违规行为；</w:t>
            </w:r>
          </w:p>
        </w:tc>
      </w:tr>
    </w:tbl>
    <w:p>
      <w:pPr>
        <w:keepNext w:val="0"/>
        <w:keepLines w:val="0"/>
        <w:pageBreakBefore w:val="0"/>
        <w:widowControl w:val="0"/>
        <w:kinsoku/>
        <w:wordWrap/>
        <w:overflowPunct/>
        <w:topLinePunct w:val="0"/>
        <w:autoSpaceDE/>
        <w:autoSpaceDN/>
        <w:bidi w:val="0"/>
        <w:adjustRightInd/>
        <w:snapToGrid/>
        <w:spacing w:line="480" w:lineRule="exact"/>
        <w:ind w:firstLine="300" w:firstLineChars="1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0"/>
          <w:szCs w:val="30"/>
          <w:lang w:val="en-US" w:eastAsia="zh-CN"/>
        </w:rPr>
        <w:t>注：具体检查时间、检查对象和参检单位等以通知为准。</w:t>
      </w:r>
    </w:p>
    <w:p>
      <w:pPr>
        <w:keepNext w:val="0"/>
        <w:keepLines w:val="0"/>
        <w:pageBreakBefore w:val="0"/>
        <w:wordWrap/>
        <w:overflowPunct/>
        <w:topLinePunct w:val="0"/>
        <w:bidi w:val="0"/>
        <w:spacing w:line="560" w:lineRule="exact"/>
        <w:ind w:firstLine="640" w:firstLineChars="200"/>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br w:type="page"/>
      </w:r>
    </w:p>
    <w:p>
      <w:pPr>
        <w:keepNext w:val="0"/>
        <w:keepLines w:val="0"/>
        <w:pageBreakBefore w:val="0"/>
        <w:wordWrap/>
        <w:overflowPunct/>
        <w:topLinePunct w:val="0"/>
        <w:bidi w:val="0"/>
        <w:spacing w:line="560" w:lineRule="exact"/>
        <w:jc w:val="both"/>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附表二</w:t>
      </w:r>
    </w:p>
    <w:p>
      <w:pPr>
        <w:keepNext w:val="0"/>
        <w:keepLines w:val="0"/>
        <w:pageBreakBefore w:val="0"/>
        <w:wordWrap/>
        <w:overflowPunct/>
        <w:topLinePunct w:val="0"/>
        <w:bidi w:val="0"/>
        <w:spacing w:line="560" w:lineRule="exact"/>
        <w:ind w:firstLine="880" w:firstLineChars="200"/>
        <w:jc w:val="center"/>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2024年崇明区地下空间安全使用管理日常检查计划表</w:t>
      </w:r>
    </w:p>
    <w:tbl>
      <w:tblPr>
        <w:tblStyle w:val="5"/>
        <w:tblpPr w:leftFromText="180" w:rightFromText="180" w:vertAnchor="text" w:horzAnchor="page" w:tblpX="1956" w:tblpY="727"/>
        <w:tblOverlap w:val="never"/>
        <w:tblW w:w="131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175"/>
        <w:gridCol w:w="7965"/>
        <w:gridCol w:w="17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70" w:type="dxa"/>
            <w:vAlign w:val="center"/>
          </w:tcPr>
          <w:p>
            <w:pPr>
              <w:keepNext w:val="0"/>
              <w:keepLines w:val="0"/>
              <w:pageBreakBefore w:val="0"/>
              <w:widowControl w:val="0"/>
              <w:wordWrap/>
              <w:overflowPunct/>
              <w:topLinePunct w:val="0"/>
              <w:bidi w:val="0"/>
              <w:spacing w:line="560" w:lineRule="exact"/>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b/>
                <w:bCs/>
                <w:sz w:val="32"/>
                <w:szCs w:val="32"/>
                <w:vertAlign w:val="baseline"/>
                <w:lang w:val="en-US" w:eastAsia="zh-CN"/>
              </w:rPr>
              <w:t>序号</w:t>
            </w:r>
          </w:p>
        </w:tc>
        <w:tc>
          <w:tcPr>
            <w:tcW w:w="2175" w:type="dxa"/>
            <w:vAlign w:val="center"/>
          </w:tcPr>
          <w:p>
            <w:pPr>
              <w:keepNext w:val="0"/>
              <w:keepLines w:val="0"/>
              <w:pageBreakBefore w:val="0"/>
              <w:widowControl w:val="0"/>
              <w:wordWrap/>
              <w:overflowPunct/>
              <w:topLinePunct w:val="0"/>
              <w:bidi w:val="0"/>
              <w:spacing w:line="560" w:lineRule="exact"/>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b/>
                <w:bCs/>
                <w:sz w:val="32"/>
                <w:szCs w:val="32"/>
                <w:vertAlign w:val="baseline"/>
                <w:lang w:val="en-US" w:eastAsia="zh-CN"/>
              </w:rPr>
              <w:t>检查对象</w:t>
            </w:r>
          </w:p>
        </w:tc>
        <w:tc>
          <w:tcPr>
            <w:tcW w:w="7965" w:type="dxa"/>
            <w:vAlign w:val="top"/>
          </w:tcPr>
          <w:p>
            <w:pPr>
              <w:keepNext w:val="0"/>
              <w:keepLines w:val="0"/>
              <w:pageBreakBefore w:val="0"/>
              <w:widowControl w:val="0"/>
              <w:wordWrap/>
              <w:overflowPunct/>
              <w:topLinePunct w:val="0"/>
              <w:bidi w:val="0"/>
              <w:spacing w:line="560" w:lineRule="exact"/>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b/>
                <w:bCs/>
                <w:sz w:val="32"/>
                <w:szCs w:val="32"/>
                <w:vertAlign w:val="baseline"/>
                <w:lang w:val="en-US" w:eastAsia="zh-CN"/>
              </w:rPr>
              <w:t>检查内容</w:t>
            </w:r>
          </w:p>
        </w:tc>
        <w:tc>
          <w:tcPr>
            <w:tcW w:w="1710" w:type="dxa"/>
            <w:vAlign w:val="top"/>
          </w:tcPr>
          <w:p>
            <w:pPr>
              <w:keepNext w:val="0"/>
              <w:keepLines w:val="0"/>
              <w:pageBreakBefore w:val="0"/>
              <w:widowControl w:val="0"/>
              <w:wordWrap/>
              <w:overflowPunct/>
              <w:topLinePunct w:val="0"/>
              <w:bidi w:val="0"/>
              <w:spacing w:line="560" w:lineRule="exact"/>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b/>
                <w:bCs/>
                <w:sz w:val="32"/>
                <w:szCs w:val="32"/>
                <w:vertAlign w:val="baseline"/>
                <w:lang w:val="en-US" w:eastAsia="zh-CN"/>
              </w:rPr>
              <w:t>检查时间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1</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城桥镇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9"/>
              <w:rPr>
                <w:rFonts w:hint="eastAsia" w:ascii="仿宋_GB2312" w:hAnsi="仿宋_GB2312" w:eastAsia="仿宋_GB2312" w:cs="仿宋_GB2312"/>
                <w:color w:val="333333"/>
                <w:sz w:val="30"/>
                <w:szCs w:val="30"/>
                <w:shd w:val="clear" w:color="auto" w:fill="FFFFFF"/>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1月、7月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5" w:hRule="atLeast"/>
        </w:trPr>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2</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陈家镇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9"/>
              <w:rPr>
                <w:rFonts w:hint="eastAsia" w:ascii="仿宋_GB2312" w:hAnsi="仿宋_GB2312" w:eastAsia="仿宋_GB2312" w:cs="仿宋_GB2312"/>
                <w:color w:val="333333"/>
                <w:sz w:val="30"/>
                <w:szCs w:val="30"/>
                <w:shd w:val="clear" w:color="auto" w:fill="FFFFFF"/>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2月、8月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3</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长兴镇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3月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 w:hRule="atLeast"/>
        </w:trPr>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4</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港西镇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9"/>
              <w:rPr>
                <w:rFonts w:hint="eastAsia" w:ascii="仿宋_GB2312" w:hAnsi="仿宋_GB2312" w:eastAsia="仿宋_GB2312" w:cs="仿宋_GB2312"/>
                <w:color w:val="333333"/>
                <w:sz w:val="30"/>
                <w:szCs w:val="30"/>
                <w:shd w:val="clear" w:color="auto" w:fill="FFFFFF"/>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3月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4" w:hRule="atLeast"/>
        </w:trPr>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5</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建设镇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9"/>
              <w:rPr>
                <w:rFonts w:hint="eastAsia" w:ascii="仿宋_GB2312" w:hAnsi="仿宋_GB2312" w:eastAsia="仿宋_GB2312" w:cs="仿宋_GB2312"/>
                <w:color w:val="333333"/>
                <w:sz w:val="30"/>
                <w:szCs w:val="30"/>
                <w:shd w:val="clear" w:color="auto" w:fill="FFFFFF"/>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4月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6</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新河镇</w:t>
            </w:r>
          </w:p>
        </w:tc>
        <w:tc>
          <w:tcPr>
            <w:tcW w:w="7965" w:type="dxa"/>
            <w:vAlign w:val="top"/>
          </w:tcPr>
          <w:p>
            <w:pPr>
              <w:keepNext w:val="0"/>
              <w:keepLines w:val="0"/>
              <w:pageBreakBefore w:val="0"/>
              <w:widowControl w:val="0"/>
              <w:numPr>
                <w:ilvl w:val="0"/>
                <w:numId w:val="1"/>
              </w:numPr>
              <w:kinsoku/>
              <w:wordWrap/>
              <w:overflowPunct/>
              <w:topLinePunct w:val="0"/>
              <w:autoSpaceDE/>
              <w:autoSpaceDN/>
              <w:bidi w:val="0"/>
              <w:adjustRightInd/>
              <w:snapToGrid/>
              <w:spacing w:line="440" w:lineRule="exact"/>
              <w:jc w:val="both"/>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color w:val="333333"/>
                <w:sz w:val="30"/>
                <w:szCs w:val="30"/>
                <w:shd w:val="clear" w:color="auto" w:fill="FFFFFF"/>
                <w:lang w:val="en-US" w:eastAsia="zh-CN"/>
              </w:rPr>
              <w:t>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5月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7</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竖新镇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6月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8</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三星镇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outlineLvl w:val="9"/>
              <w:rPr>
                <w:rFonts w:hint="eastAsia" w:ascii="仿宋_GB2312" w:hAnsi="仿宋_GB2312" w:eastAsia="仿宋_GB2312" w:cs="仿宋_GB2312"/>
                <w:color w:val="333333"/>
                <w:sz w:val="30"/>
                <w:szCs w:val="30"/>
                <w:shd w:val="clear" w:color="auto" w:fill="FFFFFF"/>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6月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9</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堡  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7月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10</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港沿镇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outlineLvl w:val="9"/>
              <w:rPr>
                <w:rFonts w:hint="eastAsia" w:ascii="仿宋_GB2312" w:hAnsi="仿宋_GB2312" w:eastAsia="仿宋_GB2312" w:cs="仿宋_GB2312"/>
                <w:color w:val="333333"/>
                <w:sz w:val="30"/>
                <w:szCs w:val="30"/>
                <w:shd w:val="clear" w:color="auto" w:fill="FFFFFF"/>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7月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11</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向化镇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outlineLvl w:val="9"/>
              <w:rPr>
                <w:rFonts w:hint="eastAsia" w:ascii="仿宋_GB2312" w:hAnsi="仿宋_GB2312" w:eastAsia="仿宋_GB2312" w:cs="仿宋_GB2312"/>
                <w:color w:val="333333"/>
                <w:sz w:val="30"/>
                <w:szCs w:val="30"/>
                <w:shd w:val="clear" w:color="auto" w:fill="FFFFFF"/>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8月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12</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中兴镇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9月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13</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东平镇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10月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14</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庙  镇</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9"/>
              <w:rPr>
                <w:rFonts w:hint="eastAsia" w:ascii="仿宋_GB2312" w:hAnsi="仿宋_GB2312" w:eastAsia="仿宋_GB2312" w:cs="仿宋_GB2312"/>
                <w:color w:val="333333"/>
                <w:sz w:val="30"/>
                <w:szCs w:val="30"/>
                <w:shd w:val="clear" w:color="auto" w:fill="FFFFFF"/>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11月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7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15</w:t>
            </w:r>
          </w:p>
        </w:tc>
        <w:tc>
          <w:tcPr>
            <w:tcW w:w="2175"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横沙乡</w:t>
            </w:r>
          </w:p>
        </w:tc>
        <w:tc>
          <w:tcPr>
            <w:tcW w:w="796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color w:val="333333"/>
                <w:sz w:val="30"/>
                <w:szCs w:val="30"/>
                <w:shd w:val="clear" w:color="auto" w:fill="FFFFFF"/>
                <w:lang w:val="en-US" w:eastAsia="zh-CN"/>
              </w:rPr>
              <w:t>（1）查阅工作台账；（2）抽查辖区内部分地下室；</w:t>
            </w:r>
          </w:p>
        </w:tc>
        <w:tc>
          <w:tcPr>
            <w:tcW w:w="1710" w:type="dxa"/>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12月</w:t>
            </w:r>
          </w:p>
        </w:tc>
      </w:tr>
    </w:tbl>
    <w:p>
      <w:pPr>
        <w:keepNext w:val="0"/>
        <w:keepLines w:val="0"/>
        <w:pageBreakBefore w:val="0"/>
        <w:wordWrap/>
        <w:overflowPunct/>
        <w:topLinePunct w:val="0"/>
        <w:bidi w:val="0"/>
        <w:spacing w:line="560" w:lineRule="exact"/>
        <w:rPr>
          <w:rFonts w:hint="eastAsia" w:ascii="仿宋_GB2312" w:hAnsi="仿宋_GB2312" w:eastAsia="仿宋_GB2312" w:cs="仿宋_GB2312"/>
          <w:sz w:val="32"/>
          <w:szCs w:val="32"/>
          <w:lang w:val="en-US" w:eastAsia="zh-CN"/>
        </w:rPr>
      </w:pPr>
    </w:p>
    <w:p>
      <w:pPr>
        <w:keepNext w:val="0"/>
        <w:keepLines w:val="0"/>
        <w:pageBreakBefore w:val="0"/>
        <w:wordWrap/>
        <w:overflowPunct/>
        <w:topLinePunct w:val="0"/>
        <w:bidi w:val="0"/>
        <w:spacing w:line="560" w:lineRule="exact"/>
        <w:ind w:firstLine="300" w:firstLineChars="100"/>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注：具体检查时间、检查对象和参检单位等以通知为准。</w:t>
      </w:r>
    </w:p>
    <w:p/>
    <w:sectPr>
      <w:footerReference r:id="rId3" w:type="default"/>
      <w:pgSz w:w="16838" w:h="11906" w:orient="landscape"/>
      <w:pgMar w:top="1800" w:right="1440" w:bottom="180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A814D1"/>
    <w:multiLevelType w:val="singleLevel"/>
    <w:tmpl w:val="4AA814D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D9353F"/>
    <w:rsid w:val="00434CCC"/>
    <w:rsid w:val="006A75E0"/>
    <w:rsid w:val="00B0733E"/>
    <w:rsid w:val="016C3BF2"/>
    <w:rsid w:val="0513096D"/>
    <w:rsid w:val="08C93C4D"/>
    <w:rsid w:val="090D5302"/>
    <w:rsid w:val="0A8B43E1"/>
    <w:rsid w:val="0E6B575F"/>
    <w:rsid w:val="0EE44505"/>
    <w:rsid w:val="133D2EC6"/>
    <w:rsid w:val="160D2A55"/>
    <w:rsid w:val="19512AF9"/>
    <w:rsid w:val="19DC314B"/>
    <w:rsid w:val="1B02339B"/>
    <w:rsid w:val="1DCC38CF"/>
    <w:rsid w:val="222F4EFC"/>
    <w:rsid w:val="23751114"/>
    <w:rsid w:val="24417270"/>
    <w:rsid w:val="2ACA4B96"/>
    <w:rsid w:val="2C147F36"/>
    <w:rsid w:val="2F68780B"/>
    <w:rsid w:val="30AF5B12"/>
    <w:rsid w:val="327E12B9"/>
    <w:rsid w:val="339A2F4E"/>
    <w:rsid w:val="357511B6"/>
    <w:rsid w:val="37122D83"/>
    <w:rsid w:val="379F4ADF"/>
    <w:rsid w:val="37B421FE"/>
    <w:rsid w:val="3C0D5261"/>
    <w:rsid w:val="3C4800DB"/>
    <w:rsid w:val="3F5F5BE3"/>
    <w:rsid w:val="419F7CD0"/>
    <w:rsid w:val="42402DB7"/>
    <w:rsid w:val="453249E0"/>
    <w:rsid w:val="466B4C21"/>
    <w:rsid w:val="47CF760F"/>
    <w:rsid w:val="49576F0D"/>
    <w:rsid w:val="4B7A55D8"/>
    <w:rsid w:val="4F1E5F36"/>
    <w:rsid w:val="4FFF6787"/>
    <w:rsid w:val="50CA64BC"/>
    <w:rsid w:val="52635F18"/>
    <w:rsid w:val="56AA3B7D"/>
    <w:rsid w:val="59D61A5F"/>
    <w:rsid w:val="59FD6F8B"/>
    <w:rsid w:val="5A910755"/>
    <w:rsid w:val="5B1547B0"/>
    <w:rsid w:val="5B6E7E22"/>
    <w:rsid w:val="5B781B69"/>
    <w:rsid w:val="5C27497C"/>
    <w:rsid w:val="5C7B180C"/>
    <w:rsid w:val="5C956DA6"/>
    <w:rsid w:val="61542676"/>
    <w:rsid w:val="61AF6384"/>
    <w:rsid w:val="6282527E"/>
    <w:rsid w:val="62883FF1"/>
    <w:rsid w:val="65A6785C"/>
    <w:rsid w:val="66A463BA"/>
    <w:rsid w:val="69507CF4"/>
    <w:rsid w:val="69C924CF"/>
    <w:rsid w:val="6A6D2041"/>
    <w:rsid w:val="6B2C765D"/>
    <w:rsid w:val="6D121792"/>
    <w:rsid w:val="6F47793E"/>
    <w:rsid w:val="6FE201B6"/>
    <w:rsid w:val="70811C63"/>
    <w:rsid w:val="70D9353F"/>
    <w:rsid w:val="70F26477"/>
    <w:rsid w:val="711B1A15"/>
    <w:rsid w:val="739F0E36"/>
    <w:rsid w:val="76FC6A3E"/>
    <w:rsid w:val="7BE210E1"/>
    <w:rsid w:val="7C24714D"/>
    <w:rsid w:val="7CA80D54"/>
    <w:rsid w:val="7F162BE9"/>
    <w:rsid w:val="7FED1C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nhideWhenUsed/>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6">
    <w:name w:val="Default"/>
    <w:qFormat/>
    <w:uiPriority w:val="99"/>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styleId="7">
    <w:name w:val="List Paragraph"/>
    <w:basedOn w:val="1"/>
    <w:qFormat/>
    <w:uiPriority w:val="99"/>
    <w:pPr>
      <w:ind w:firstLine="420" w:firstLineChars="200"/>
    </w:pPr>
  </w:style>
  <w:style w:type="character" w:customStyle="1" w:styleId="8">
    <w:name w:val="页脚 Char"/>
    <w:basedOn w:val="3"/>
    <w:link w:val="2"/>
    <w:qFormat/>
    <w:uiPriority w:val="0"/>
    <w:rPr>
      <w:rFonts w:ascii="Times New Roman" w:hAnsi="Times New Roman"/>
      <w:kern w:val="2"/>
      <w:sz w:val="18"/>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375</Words>
  <Characters>2139</Characters>
  <Lines>17</Lines>
  <Paragraphs>5</Paragraphs>
  <TotalTime>8</TotalTime>
  <ScaleCrop>false</ScaleCrop>
  <LinksUpToDate>false</LinksUpToDate>
  <CharactersWithSpaces>2509</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2022-02-09T01:52:00Z</dcterms:created>
  <dc:creator>芃苒</dc:creator>
  <cp:lastModifiedBy>Administrator</cp:lastModifiedBy>
  <cp:lastPrinted>2024-03-18T05:52:00Z</cp:lastPrinted>
  <dcterms:modified xsi:type="dcterms:W3CDTF">2024-06-13T05:54:49Z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